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1A02" w14:textId="489D4E61" w:rsidR="00F93D21" w:rsidRDefault="0002333F" w:rsidP="0002333F">
      <w:pPr>
        <w:spacing w:after="0"/>
        <w:jc w:val="center"/>
        <w:rPr>
          <w:b/>
          <w:bCs/>
        </w:rPr>
      </w:pPr>
      <w:r>
        <w:rPr>
          <w:b/>
          <w:bCs/>
        </w:rPr>
        <w:t xml:space="preserve">PREGÃO ELETRÔNICO </w:t>
      </w:r>
      <w:proofErr w:type="gramStart"/>
      <w:r>
        <w:rPr>
          <w:b/>
          <w:bCs/>
        </w:rPr>
        <w:t>PE.PPSA</w:t>
      </w:r>
      <w:proofErr w:type="gramEnd"/>
      <w:r>
        <w:rPr>
          <w:b/>
          <w:bCs/>
        </w:rPr>
        <w:t>.003/2022</w:t>
      </w:r>
    </w:p>
    <w:p w14:paraId="55D4BAE0" w14:textId="075AB5FA" w:rsidR="0002333F" w:rsidRDefault="0002333F" w:rsidP="0002333F">
      <w:pPr>
        <w:spacing w:after="0"/>
        <w:jc w:val="center"/>
        <w:rPr>
          <w:b/>
          <w:bCs/>
        </w:rPr>
      </w:pPr>
      <w:r>
        <w:rPr>
          <w:b/>
          <w:bCs/>
        </w:rPr>
        <w:t>AQUISIÇÃO DE FIREWALL</w:t>
      </w:r>
    </w:p>
    <w:p w14:paraId="3E03EDC5" w14:textId="37C57004" w:rsidR="008D1AF7" w:rsidRDefault="008D1AF7" w:rsidP="0002333F">
      <w:pPr>
        <w:spacing w:after="0"/>
        <w:jc w:val="center"/>
        <w:rPr>
          <w:b/>
          <w:bCs/>
        </w:rPr>
      </w:pPr>
    </w:p>
    <w:p w14:paraId="2C670DF0" w14:textId="21068040" w:rsidR="008D1AF7" w:rsidRPr="0002333F" w:rsidRDefault="00144AC8" w:rsidP="0002333F">
      <w:pPr>
        <w:spacing w:after="0"/>
        <w:jc w:val="center"/>
        <w:rPr>
          <w:b/>
          <w:bCs/>
        </w:rPr>
      </w:pPr>
      <w:r>
        <w:rPr>
          <w:b/>
          <w:bCs/>
        </w:rPr>
        <w:t>(</w:t>
      </w:r>
      <w:r w:rsidR="008D1AF7" w:rsidRPr="008D1AF7">
        <w:rPr>
          <w:b/>
          <w:bCs/>
        </w:rPr>
        <w:t>Atualizado em</w:t>
      </w:r>
      <w:r w:rsidR="008D1AF7" w:rsidRPr="008D1AF7">
        <w:rPr>
          <w:b/>
          <w:bCs/>
          <w:color w:val="FF0000"/>
        </w:rPr>
        <w:t xml:space="preserve">:  </w:t>
      </w:r>
      <w:r w:rsidR="008D1AF7">
        <w:rPr>
          <w:b/>
          <w:bCs/>
          <w:color w:val="FF0000"/>
        </w:rPr>
        <w:t>2</w:t>
      </w:r>
      <w:r w:rsidR="009D7732">
        <w:rPr>
          <w:b/>
          <w:bCs/>
          <w:color w:val="FF0000"/>
        </w:rPr>
        <w:t>9</w:t>
      </w:r>
      <w:r w:rsidR="008D1AF7" w:rsidRPr="008D1AF7">
        <w:rPr>
          <w:b/>
          <w:bCs/>
          <w:color w:val="FF0000"/>
        </w:rPr>
        <w:t>/0</w:t>
      </w:r>
      <w:r w:rsidR="008D1AF7">
        <w:rPr>
          <w:b/>
          <w:bCs/>
          <w:color w:val="FF0000"/>
        </w:rPr>
        <w:t>7</w:t>
      </w:r>
      <w:r w:rsidR="008D1AF7" w:rsidRPr="008D1AF7">
        <w:rPr>
          <w:b/>
          <w:bCs/>
          <w:color w:val="FF0000"/>
        </w:rPr>
        <w:t xml:space="preserve">/2021 </w:t>
      </w:r>
      <w:r w:rsidR="008D1AF7" w:rsidRPr="008D1AF7">
        <w:rPr>
          <w:b/>
          <w:bCs/>
        </w:rPr>
        <w:t xml:space="preserve">– Esclarecimento nº </w:t>
      </w:r>
      <w:r w:rsidR="00831CBB">
        <w:rPr>
          <w:b/>
          <w:bCs/>
        </w:rPr>
        <w:t>1</w:t>
      </w:r>
      <w:r w:rsidR="00F1619D">
        <w:rPr>
          <w:b/>
          <w:bCs/>
        </w:rPr>
        <w:t>2</w:t>
      </w:r>
      <w:r w:rsidR="008D1AF7" w:rsidRPr="008D1AF7">
        <w:rPr>
          <w:b/>
          <w:bCs/>
        </w:rPr>
        <w:t>, Perguntas e Respostas de 01 até 0</w:t>
      </w:r>
      <w:r w:rsidR="00831CBB">
        <w:rPr>
          <w:b/>
          <w:bCs/>
        </w:rPr>
        <w:t>3</w:t>
      </w:r>
      <w:r w:rsidR="008D1AF7" w:rsidRPr="008D1AF7">
        <w:rPr>
          <w:b/>
          <w:bCs/>
        </w:rPr>
        <w:t>)</w:t>
      </w:r>
    </w:p>
    <w:p w14:paraId="2F3A5281" w14:textId="77777777" w:rsidR="0002333F" w:rsidRDefault="0002333F" w:rsidP="00E25AB8">
      <w:pPr>
        <w:jc w:val="both"/>
        <w:rPr>
          <w:b/>
          <w:bCs/>
          <w:u w:val="single"/>
        </w:rPr>
      </w:pPr>
    </w:p>
    <w:p w14:paraId="427E7005" w14:textId="0BB02079" w:rsidR="00325329" w:rsidRPr="00486688" w:rsidRDefault="00325329" w:rsidP="00E25AB8">
      <w:pPr>
        <w:jc w:val="both"/>
        <w:rPr>
          <w:b/>
          <w:bCs/>
          <w:u w:val="single"/>
        </w:rPr>
      </w:pPr>
      <w:r w:rsidRPr="00486688">
        <w:rPr>
          <w:b/>
          <w:bCs/>
          <w:u w:val="single"/>
        </w:rPr>
        <w:t xml:space="preserve">ESCLARECIMENTO </w:t>
      </w:r>
      <w:r w:rsidR="0002333F">
        <w:rPr>
          <w:b/>
          <w:bCs/>
          <w:u w:val="single"/>
        </w:rPr>
        <w:t xml:space="preserve">Nº </w:t>
      </w:r>
      <w:r w:rsidR="00831CBB">
        <w:rPr>
          <w:b/>
          <w:bCs/>
          <w:u w:val="single"/>
        </w:rPr>
        <w:t>1</w:t>
      </w:r>
      <w:r w:rsidR="00F1619D">
        <w:rPr>
          <w:b/>
          <w:bCs/>
          <w:u w:val="single"/>
        </w:rPr>
        <w:t>2</w:t>
      </w:r>
    </w:p>
    <w:p w14:paraId="56BD21AF" w14:textId="77777777" w:rsidR="00831CBB" w:rsidRDefault="00831CBB" w:rsidP="00831CBB">
      <w:pPr>
        <w:jc w:val="both"/>
        <w:rPr>
          <w:u w:val="single"/>
        </w:rPr>
      </w:pPr>
    </w:p>
    <w:p w14:paraId="0AC7B480" w14:textId="77777777" w:rsidR="00831CBB" w:rsidRDefault="00144AC8" w:rsidP="00831CBB">
      <w:pPr>
        <w:jc w:val="both"/>
      </w:pPr>
      <w:r>
        <w:rPr>
          <w:b/>
        </w:rPr>
        <w:t xml:space="preserve">Pergunta nº 01: </w:t>
      </w:r>
      <w:r w:rsidR="00831CBB">
        <w:t>O objeto da presente licitação engloba o fornecimento tanto de Hardwares quanto Softwares e Serviços. Entendemos que o faturamento poderá ser feito separadamente, a fim de atender a legislação vigente. Está correto o entendimento?</w:t>
      </w:r>
    </w:p>
    <w:p w14:paraId="7304DB10" w14:textId="3AA0CB6D" w:rsidR="00144AC8" w:rsidRDefault="00144AC8" w:rsidP="00144AC8">
      <w:pPr>
        <w:jc w:val="both"/>
        <w:rPr>
          <w:color w:val="0070C0"/>
        </w:rPr>
      </w:pPr>
      <w:r w:rsidRPr="00144AC8">
        <w:rPr>
          <w:b/>
        </w:rPr>
        <w:t>Resposta n° 01:</w:t>
      </w:r>
      <w:r w:rsidRPr="00144AC8">
        <w:t xml:space="preserve"> </w:t>
      </w:r>
      <w:r w:rsidR="00831CBB" w:rsidRPr="00831CBB">
        <w:rPr>
          <w:color w:val="0070C0"/>
        </w:rPr>
        <w:t>Sim. Está correto o entendimento.</w:t>
      </w:r>
    </w:p>
    <w:p w14:paraId="45A8E944" w14:textId="7C09B948" w:rsidR="00831CBB" w:rsidRDefault="00831CBB" w:rsidP="00144AC8">
      <w:pPr>
        <w:jc w:val="both"/>
        <w:rPr>
          <w:color w:val="0070C0"/>
        </w:rPr>
      </w:pPr>
    </w:p>
    <w:p w14:paraId="4D01B031" w14:textId="77777777" w:rsidR="00831CBB" w:rsidRDefault="00831CBB" w:rsidP="00831CBB">
      <w:pPr>
        <w:jc w:val="both"/>
      </w:pPr>
      <w:r>
        <w:rPr>
          <w:b/>
        </w:rPr>
        <w:t xml:space="preserve">Pergunta nº 02: </w:t>
      </w:r>
      <w:r>
        <w:t xml:space="preserve">Via de regra há somente um CNPJ para cada pessoa jurídica, havendo apenas a alteração em seu controle (parte final) a fim de que se diferencie seus diversos estabelecimentos (filiais). Considerando que se trata de uma única empresa jurídica, para todos os efeitos estaremos participando do certame com um único CNPJ principal. Exclusivamente para efeitos de faturamento utilizaremos o CNPJ de filial (com alteração no seu controle parte final). Serão apresentados todos os documentos de habilitação dos </w:t>
      </w:r>
      <w:proofErr w:type="spellStart"/>
      <w:r>
        <w:t>CNPJs</w:t>
      </w:r>
      <w:proofErr w:type="spellEnd"/>
      <w:r>
        <w:t xml:space="preserve"> envolvidos no faturamento, de forma a comprovar a situação de regularidade. Está correto nosso entendimento?</w:t>
      </w:r>
    </w:p>
    <w:p w14:paraId="2B6BD1F6" w14:textId="1AEB4D5B" w:rsidR="00831CBB" w:rsidRPr="00831CBB" w:rsidRDefault="00831CBB" w:rsidP="00144AC8">
      <w:pPr>
        <w:jc w:val="both"/>
        <w:rPr>
          <w:b/>
          <w:color w:val="0070C0"/>
        </w:rPr>
      </w:pPr>
      <w:r>
        <w:rPr>
          <w:b/>
        </w:rPr>
        <w:t xml:space="preserve">Resposta nº 02: </w:t>
      </w:r>
      <w:r w:rsidRPr="00831CBB">
        <w:rPr>
          <w:color w:val="0070C0"/>
        </w:rPr>
        <w:t>Sim. Está correto o entendimento</w:t>
      </w:r>
    </w:p>
    <w:p w14:paraId="369F3127" w14:textId="142D77E4" w:rsidR="00831CBB" w:rsidRDefault="00831CBB" w:rsidP="00144AC8">
      <w:pPr>
        <w:jc w:val="both"/>
        <w:rPr>
          <w:b/>
        </w:rPr>
      </w:pPr>
    </w:p>
    <w:p w14:paraId="26EEB6D5" w14:textId="77777777" w:rsidR="00831CBB" w:rsidRDefault="00831CBB" w:rsidP="00831CBB">
      <w:pPr>
        <w:jc w:val="both"/>
      </w:pPr>
      <w:r>
        <w:rPr>
          <w:b/>
        </w:rPr>
        <w:t xml:space="preserve">Pergunta nº 03: </w:t>
      </w:r>
      <w:r>
        <w:t>Tendo em vista que esta empresa é certificada pela  ISO 37001 (norma internacional para sistema de gestão antissuborno, concebida para suportar as organizações na prevenção, detecção e reação às práticas contrárias às leis de combate à corrupção) e em atendimento aos seus requisitos, indagamos se podemos considerar eventuais práticas realizadas por este órgão licitante (Contratante) contrárias às leis de combate à corrupção e suborno, aplicáveis ao contrato, como motivo de sua rescisão imediata por justa causa pela Contratada, sem que caiba à Contratante o direito de recebimento de indenizações, ressarcimentos e/ou aplicação de penalidades administrativas contra a Contratada.</w:t>
      </w:r>
    </w:p>
    <w:p w14:paraId="245A7190" w14:textId="77777777" w:rsidR="009D7732" w:rsidRPr="009D7732" w:rsidRDefault="00831CBB" w:rsidP="009D7732">
      <w:pPr>
        <w:pStyle w:val="NormalWeb"/>
        <w:shd w:val="clear" w:color="auto" w:fill="FFFFFF"/>
        <w:spacing w:before="0" w:beforeAutospacing="0" w:after="0" w:afterAutospacing="0" w:line="360" w:lineRule="atLeast"/>
        <w:jc w:val="both"/>
        <w:rPr>
          <w:rFonts w:asciiTheme="minorHAnsi" w:hAnsiTheme="minorHAnsi" w:cstheme="minorHAnsi"/>
          <w:color w:val="0070C0"/>
          <w:sz w:val="22"/>
          <w:szCs w:val="22"/>
        </w:rPr>
      </w:pPr>
      <w:r>
        <w:rPr>
          <w:b/>
        </w:rPr>
        <w:t xml:space="preserve">Resposta nº 03: </w:t>
      </w:r>
      <w:bookmarkStart w:id="0" w:name="_Hlk109896228"/>
      <w:r w:rsidR="009D7732" w:rsidRPr="009D7732">
        <w:rPr>
          <w:rFonts w:asciiTheme="minorHAnsi" w:hAnsiTheme="minorHAnsi" w:cstheme="minorHAnsi"/>
          <w:color w:val="0070C0"/>
          <w:sz w:val="22"/>
          <w:szCs w:val="22"/>
          <w:bdr w:val="none" w:sz="0" w:space="0" w:color="auto" w:frame="1"/>
        </w:rPr>
        <w:t xml:space="preserve">Não cabe à Contratada a rescisão unilateral pelo motivo exposto. O </w:t>
      </w:r>
      <w:proofErr w:type="spellStart"/>
      <w:r w:rsidR="009D7732" w:rsidRPr="009D7732">
        <w:rPr>
          <w:rFonts w:asciiTheme="minorHAnsi" w:hAnsiTheme="minorHAnsi" w:cstheme="minorHAnsi"/>
          <w:color w:val="0070C0"/>
          <w:sz w:val="22"/>
          <w:szCs w:val="22"/>
          <w:bdr w:val="none" w:sz="0" w:space="0" w:color="auto" w:frame="1"/>
        </w:rPr>
        <w:t>art</w:t>
      </w:r>
      <w:proofErr w:type="spellEnd"/>
      <w:r w:rsidR="009D7732" w:rsidRPr="009D7732">
        <w:rPr>
          <w:rFonts w:asciiTheme="minorHAnsi" w:hAnsiTheme="minorHAnsi" w:cstheme="minorHAnsi"/>
          <w:color w:val="0070C0"/>
          <w:sz w:val="22"/>
          <w:szCs w:val="22"/>
          <w:bdr w:val="none" w:sz="0" w:space="0" w:color="auto" w:frame="1"/>
        </w:rPr>
        <w:t>, 69, inciso VII, da Lei nº 13.303/2016, determina que os casos de rescisão são cláusulas necessárias aos contratos. Nesse contexto, a cláusula décima nona do </w:t>
      </w:r>
      <w:r w:rsidR="009D7732" w:rsidRPr="009D7732">
        <w:rPr>
          <w:rFonts w:asciiTheme="minorHAnsi" w:hAnsiTheme="minorHAnsi" w:cstheme="minorHAnsi"/>
          <w:i/>
          <w:iCs/>
          <w:color w:val="0070C0"/>
          <w:sz w:val="22"/>
          <w:szCs w:val="22"/>
          <w:bdr w:val="none" w:sz="0" w:space="0" w:color="auto" w:frame="1"/>
        </w:rPr>
        <w:t>“Anexo III – Modelo de Instrumento Contratual”</w:t>
      </w:r>
      <w:r w:rsidR="009D7732" w:rsidRPr="009D7732">
        <w:rPr>
          <w:rFonts w:asciiTheme="minorHAnsi" w:hAnsiTheme="minorHAnsi" w:cstheme="minorHAnsi"/>
          <w:color w:val="0070C0"/>
          <w:sz w:val="22"/>
          <w:szCs w:val="22"/>
          <w:bdr w:val="none" w:sz="0" w:space="0" w:color="auto" w:frame="1"/>
        </w:rPr>
        <w:t xml:space="preserve"> do Edital traz as disposições acerca do tema e estabelece, principalmente, que a rescisão contratual será pautada pelos </w:t>
      </w:r>
      <w:proofErr w:type="spellStart"/>
      <w:r w:rsidR="009D7732" w:rsidRPr="009D7732">
        <w:rPr>
          <w:rFonts w:asciiTheme="minorHAnsi" w:hAnsiTheme="minorHAnsi" w:cstheme="minorHAnsi"/>
          <w:color w:val="0070C0"/>
          <w:sz w:val="22"/>
          <w:szCs w:val="22"/>
          <w:bdr w:val="none" w:sz="0" w:space="0" w:color="auto" w:frame="1"/>
        </w:rPr>
        <w:t>arts</w:t>
      </w:r>
      <w:proofErr w:type="spellEnd"/>
      <w:r w:rsidR="009D7732" w:rsidRPr="009D7732">
        <w:rPr>
          <w:rFonts w:asciiTheme="minorHAnsi" w:hAnsiTheme="minorHAnsi" w:cstheme="minorHAnsi"/>
          <w:color w:val="0070C0"/>
          <w:sz w:val="22"/>
          <w:szCs w:val="22"/>
          <w:bdr w:val="none" w:sz="0" w:space="0" w:color="auto" w:frame="1"/>
        </w:rPr>
        <w:t>. 118 a 121 do Regulamento Interno de Licitações e Contratos da PPSA</w:t>
      </w:r>
      <w:r w:rsidR="009D7732" w:rsidRPr="009D7732">
        <w:rPr>
          <w:rFonts w:asciiTheme="minorHAnsi" w:hAnsiTheme="minorHAnsi" w:cstheme="minorHAnsi"/>
          <w:i/>
          <w:iCs/>
          <w:color w:val="0070C0"/>
          <w:sz w:val="22"/>
          <w:szCs w:val="22"/>
          <w:bdr w:val="none" w:sz="0" w:space="0" w:color="auto" w:frame="1"/>
        </w:rPr>
        <w:t>.</w:t>
      </w:r>
      <w:r w:rsidR="009D7732" w:rsidRPr="009D7732">
        <w:rPr>
          <w:rFonts w:asciiTheme="minorHAnsi" w:hAnsiTheme="minorHAnsi" w:cstheme="minorHAnsi"/>
          <w:color w:val="0070C0"/>
          <w:sz w:val="22"/>
          <w:szCs w:val="22"/>
          <w:bdr w:val="none" w:sz="0" w:space="0" w:color="auto" w:frame="1"/>
        </w:rPr>
        <w:t> </w:t>
      </w:r>
    </w:p>
    <w:p w14:paraId="3CC37768" w14:textId="77777777" w:rsidR="009D7732" w:rsidRPr="009D7732" w:rsidRDefault="009D7732" w:rsidP="009D7732">
      <w:pPr>
        <w:shd w:val="clear" w:color="auto" w:fill="FFFFFF"/>
        <w:spacing w:after="0" w:line="360" w:lineRule="atLeast"/>
        <w:jc w:val="both"/>
        <w:rPr>
          <w:rFonts w:eastAsia="Times New Roman" w:cstheme="minorHAnsi"/>
          <w:color w:val="0070C0"/>
          <w:lang w:eastAsia="pt-BR"/>
        </w:rPr>
      </w:pPr>
      <w:r w:rsidRPr="009D7732">
        <w:rPr>
          <w:rFonts w:eastAsia="Times New Roman" w:cstheme="minorHAnsi"/>
          <w:color w:val="0070C0"/>
          <w:bdr w:val="none" w:sz="0" w:space="0" w:color="auto" w:frame="1"/>
          <w:lang w:eastAsia="pt-BR"/>
        </w:rPr>
        <w:t>Assim, em análise aos dispositivos em comento, verifica-se que o caso ora mencionado não foi estipulado como uma hipótese para rescisão unilateral pela Contratada. </w:t>
      </w:r>
    </w:p>
    <w:p w14:paraId="31C89F4F" w14:textId="77777777" w:rsidR="009D7732" w:rsidRPr="009D7732" w:rsidRDefault="009D7732" w:rsidP="009D7732">
      <w:pPr>
        <w:shd w:val="clear" w:color="auto" w:fill="FFFFFF"/>
        <w:spacing w:after="0" w:line="360" w:lineRule="atLeast"/>
        <w:jc w:val="both"/>
        <w:rPr>
          <w:rFonts w:eastAsia="Times New Roman" w:cstheme="minorHAnsi"/>
          <w:color w:val="0070C0"/>
          <w:lang w:eastAsia="pt-BR"/>
        </w:rPr>
      </w:pPr>
      <w:r w:rsidRPr="009D7732">
        <w:rPr>
          <w:rFonts w:eastAsia="Times New Roman" w:cstheme="minorHAnsi"/>
          <w:color w:val="0070C0"/>
          <w:bdr w:val="none" w:sz="0" w:space="0" w:color="auto" w:frame="1"/>
          <w:lang w:eastAsia="pt-BR"/>
        </w:rPr>
        <w:t>Não obstante, cumpre informar que a PPSA cumpre as leis, regulamentos, normas e diretrizes que lhe são aplicáveis e proíbe rigorosamente toda e qualquer conduta que possa violar a legislação anticorrupção, conforme disposições de seu </w:t>
      </w:r>
      <w:r w:rsidRPr="009D7732">
        <w:rPr>
          <w:rFonts w:eastAsia="Times New Roman" w:cstheme="minorHAnsi"/>
          <w:i/>
          <w:iCs/>
          <w:color w:val="0070C0"/>
          <w:bdr w:val="none" w:sz="0" w:space="0" w:color="auto" w:frame="1"/>
          <w:lang w:eastAsia="pt-BR"/>
        </w:rPr>
        <w:t>“Código de Conduta e Integridade”</w:t>
      </w:r>
      <w:r w:rsidRPr="009D7732">
        <w:rPr>
          <w:rFonts w:eastAsia="Times New Roman" w:cstheme="minorHAnsi"/>
          <w:color w:val="0070C0"/>
          <w:bdr w:val="none" w:sz="0" w:space="0" w:color="auto" w:frame="1"/>
          <w:lang w:eastAsia="pt-BR"/>
        </w:rPr>
        <w:t xml:space="preserve"> e da </w:t>
      </w:r>
      <w:r w:rsidRPr="009D7732">
        <w:rPr>
          <w:rFonts w:eastAsia="Times New Roman" w:cstheme="minorHAnsi"/>
          <w:color w:val="0070C0"/>
          <w:bdr w:val="none" w:sz="0" w:space="0" w:color="auto" w:frame="1"/>
          <w:lang w:eastAsia="pt-BR"/>
        </w:rPr>
        <w:lastRenderedPageBreak/>
        <w:t>sua </w:t>
      </w:r>
      <w:r w:rsidRPr="009D7732">
        <w:rPr>
          <w:rFonts w:eastAsia="Times New Roman" w:cstheme="minorHAnsi"/>
          <w:i/>
          <w:iCs/>
          <w:color w:val="0070C0"/>
          <w:bdr w:val="none" w:sz="0" w:space="0" w:color="auto" w:frame="1"/>
          <w:lang w:eastAsia="pt-BR"/>
        </w:rPr>
        <w:t>“Política Anticorrupção”</w:t>
      </w:r>
      <w:r w:rsidRPr="009D7732">
        <w:rPr>
          <w:rFonts w:eastAsia="Times New Roman" w:cstheme="minorHAnsi"/>
          <w:color w:val="0070C0"/>
          <w:bdr w:val="none" w:sz="0" w:space="0" w:color="auto" w:frame="1"/>
          <w:lang w:eastAsia="pt-BR"/>
        </w:rPr>
        <w:t>, constantes do item 18.6.5 do Edital e da cláusula quinta da minuta do </w:t>
      </w:r>
      <w:r w:rsidRPr="009D7732">
        <w:rPr>
          <w:rFonts w:eastAsia="Times New Roman" w:cstheme="minorHAnsi"/>
          <w:i/>
          <w:iCs/>
          <w:color w:val="0070C0"/>
          <w:bdr w:val="none" w:sz="0" w:space="0" w:color="auto" w:frame="1"/>
          <w:lang w:eastAsia="pt-BR"/>
        </w:rPr>
        <w:t>“Anexo III – Modelo de Instrumento Contratual”</w:t>
      </w:r>
      <w:r w:rsidRPr="009D7732">
        <w:rPr>
          <w:rFonts w:eastAsia="Times New Roman" w:cstheme="minorHAnsi"/>
          <w:color w:val="0070C0"/>
          <w:bdr w:val="none" w:sz="0" w:space="0" w:color="auto" w:frame="1"/>
          <w:lang w:eastAsia="pt-BR"/>
        </w:rPr>
        <w:t> do Edital e disponíveis para consulta no </w:t>
      </w:r>
      <w:r w:rsidRPr="009D7732">
        <w:rPr>
          <w:rFonts w:eastAsia="Times New Roman" w:cstheme="minorHAnsi"/>
          <w:i/>
          <w:iCs/>
          <w:color w:val="0070C0"/>
          <w:bdr w:val="none" w:sz="0" w:space="0" w:color="auto" w:frame="1"/>
          <w:lang w:eastAsia="pt-BR"/>
        </w:rPr>
        <w:t>site</w:t>
      </w:r>
      <w:r w:rsidRPr="009D7732">
        <w:rPr>
          <w:rFonts w:eastAsia="Times New Roman" w:cstheme="minorHAnsi"/>
          <w:color w:val="0070C0"/>
          <w:bdr w:val="none" w:sz="0" w:space="0" w:color="auto" w:frame="1"/>
          <w:lang w:eastAsia="pt-BR"/>
        </w:rPr>
        <w:t> da PPSA. </w:t>
      </w:r>
    </w:p>
    <w:p w14:paraId="78945AF5" w14:textId="77777777" w:rsidR="009D7732" w:rsidRPr="009D7732" w:rsidRDefault="009D7732" w:rsidP="009D7732">
      <w:pPr>
        <w:shd w:val="clear" w:color="auto" w:fill="FFFFFF"/>
        <w:spacing w:after="0" w:line="312" w:lineRule="atLeast"/>
        <w:jc w:val="both"/>
        <w:rPr>
          <w:rFonts w:ascii="Times New Roman" w:eastAsia="Times New Roman" w:hAnsi="Times New Roman" w:cs="Times New Roman"/>
          <w:color w:val="000000"/>
          <w:sz w:val="24"/>
          <w:szCs w:val="24"/>
          <w:lang w:eastAsia="pt-BR"/>
        </w:rPr>
      </w:pPr>
      <w:r w:rsidRPr="009D7732">
        <w:rPr>
          <w:rFonts w:ascii="Times New Roman" w:eastAsia="Times New Roman" w:hAnsi="Times New Roman" w:cs="Times New Roman"/>
          <w:color w:val="000000"/>
          <w:sz w:val="24"/>
          <w:szCs w:val="24"/>
          <w:bdr w:val="none" w:sz="0" w:space="0" w:color="auto" w:frame="1"/>
          <w:lang w:eastAsia="pt-BR"/>
        </w:rPr>
        <w:t> </w:t>
      </w:r>
    </w:p>
    <w:bookmarkEnd w:id="0"/>
    <w:sectPr w:rsidR="009D7732" w:rsidRPr="009D77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36"/>
    <w:rsid w:val="00001909"/>
    <w:rsid w:val="00006FF6"/>
    <w:rsid w:val="0002333F"/>
    <w:rsid w:val="00033A6E"/>
    <w:rsid w:val="00033E6F"/>
    <w:rsid w:val="00044334"/>
    <w:rsid w:val="00046A04"/>
    <w:rsid w:val="00052069"/>
    <w:rsid w:val="00061FD3"/>
    <w:rsid w:val="000737B9"/>
    <w:rsid w:val="00096799"/>
    <w:rsid w:val="00097F49"/>
    <w:rsid w:val="000C337F"/>
    <w:rsid w:val="000C4437"/>
    <w:rsid w:val="000D4694"/>
    <w:rsid w:val="000E1223"/>
    <w:rsid w:val="000F18AC"/>
    <w:rsid w:val="000F7BB4"/>
    <w:rsid w:val="001019DD"/>
    <w:rsid w:val="00110AEC"/>
    <w:rsid w:val="001118AF"/>
    <w:rsid w:val="00112D2C"/>
    <w:rsid w:val="00133842"/>
    <w:rsid w:val="00144AC8"/>
    <w:rsid w:val="001547C8"/>
    <w:rsid w:val="00154C0B"/>
    <w:rsid w:val="00161AD6"/>
    <w:rsid w:val="00162C24"/>
    <w:rsid w:val="00171D4A"/>
    <w:rsid w:val="00173C2D"/>
    <w:rsid w:val="0017436F"/>
    <w:rsid w:val="001805C1"/>
    <w:rsid w:val="001A4F56"/>
    <w:rsid w:val="001E2CAD"/>
    <w:rsid w:val="001E2DC9"/>
    <w:rsid w:val="001F3053"/>
    <w:rsid w:val="001F7507"/>
    <w:rsid w:val="002015CC"/>
    <w:rsid w:val="002051E0"/>
    <w:rsid w:val="00220449"/>
    <w:rsid w:val="00220AA8"/>
    <w:rsid w:val="0023106D"/>
    <w:rsid w:val="0023250C"/>
    <w:rsid w:val="00261F6F"/>
    <w:rsid w:val="002758E2"/>
    <w:rsid w:val="002861FF"/>
    <w:rsid w:val="002927D3"/>
    <w:rsid w:val="002A09E1"/>
    <w:rsid w:val="002A27A7"/>
    <w:rsid w:val="002D6AF8"/>
    <w:rsid w:val="002D6B22"/>
    <w:rsid w:val="002F3BAE"/>
    <w:rsid w:val="00302F51"/>
    <w:rsid w:val="00325329"/>
    <w:rsid w:val="00331886"/>
    <w:rsid w:val="00333AE1"/>
    <w:rsid w:val="00335108"/>
    <w:rsid w:val="00346AC4"/>
    <w:rsid w:val="003E0A5C"/>
    <w:rsid w:val="003E7176"/>
    <w:rsid w:val="00406D62"/>
    <w:rsid w:val="00415C1D"/>
    <w:rsid w:val="0044035E"/>
    <w:rsid w:val="00441626"/>
    <w:rsid w:val="004503F7"/>
    <w:rsid w:val="004638A5"/>
    <w:rsid w:val="00481589"/>
    <w:rsid w:val="00486688"/>
    <w:rsid w:val="004A4476"/>
    <w:rsid w:val="004A544A"/>
    <w:rsid w:val="004C6089"/>
    <w:rsid w:val="004F3DFF"/>
    <w:rsid w:val="0051403C"/>
    <w:rsid w:val="00516CD3"/>
    <w:rsid w:val="0051781D"/>
    <w:rsid w:val="00530AF4"/>
    <w:rsid w:val="0054385A"/>
    <w:rsid w:val="00545F02"/>
    <w:rsid w:val="00546118"/>
    <w:rsid w:val="00557611"/>
    <w:rsid w:val="00572238"/>
    <w:rsid w:val="00584F74"/>
    <w:rsid w:val="005B2EEC"/>
    <w:rsid w:val="005B4B54"/>
    <w:rsid w:val="005C2D22"/>
    <w:rsid w:val="005D3568"/>
    <w:rsid w:val="005E45C8"/>
    <w:rsid w:val="005F76ED"/>
    <w:rsid w:val="00603AC3"/>
    <w:rsid w:val="00606CAD"/>
    <w:rsid w:val="006078EC"/>
    <w:rsid w:val="00614355"/>
    <w:rsid w:val="006427ED"/>
    <w:rsid w:val="006643F4"/>
    <w:rsid w:val="006A0338"/>
    <w:rsid w:val="006A6531"/>
    <w:rsid w:val="006C21FF"/>
    <w:rsid w:val="006E3AB0"/>
    <w:rsid w:val="006E3BE2"/>
    <w:rsid w:val="006F5559"/>
    <w:rsid w:val="007061A2"/>
    <w:rsid w:val="00711608"/>
    <w:rsid w:val="00752CFF"/>
    <w:rsid w:val="00764E20"/>
    <w:rsid w:val="007656BF"/>
    <w:rsid w:val="00765B26"/>
    <w:rsid w:val="00776599"/>
    <w:rsid w:val="00786C08"/>
    <w:rsid w:val="00793D96"/>
    <w:rsid w:val="007B25FF"/>
    <w:rsid w:val="007C767E"/>
    <w:rsid w:val="0081665A"/>
    <w:rsid w:val="00831CBB"/>
    <w:rsid w:val="00840D0F"/>
    <w:rsid w:val="00844A4C"/>
    <w:rsid w:val="00851731"/>
    <w:rsid w:val="00876089"/>
    <w:rsid w:val="00886BDA"/>
    <w:rsid w:val="00887BCC"/>
    <w:rsid w:val="00890AFD"/>
    <w:rsid w:val="00893BD5"/>
    <w:rsid w:val="00895936"/>
    <w:rsid w:val="008C2491"/>
    <w:rsid w:val="008C41E8"/>
    <w:rsid w:val="008D1AF7"/>
    <w:rsid w:val="008E4D1B"/>
    <w:rsid w:val="008E503A"/>
    <w:rsid w:val="008F484F"/>
    <w:rsid w:val="008F6ADB"/>
    <w:rsid w:val="0090413C"/>
    <w:rsid w:val="00906B98"/>
    <w:rsid w:val="00915ECF"/>
    <w:rsid w:val="00916AE3"/>
    <w:rsid w:val="00936F84"/>
    <w:rsid w:val="009433F2"/>
    <w:rsid w:val="009702A9"/>
    <w:rsid w:val="00986819"/>
    <w:rsid w:val="00994E4B"/>
    <w:rsid w:val="009975AF"/>
    <w:rsid w:val="009B1876"/>
    <w:rsid w:val="009C274E"/>
    <w:rsid w:val="009C354D"/>
    <w:rsid w:val="009D3A54"/>
    <w:rsid w:val="009D7732"/>
    <w:rsid w:val="009E27D3"/>
    <w:rsid w:val="009E32C1"/>
    <w:rsid w:val="009F213E"/>
    <w:rsid w:val="009F2ED8"/>
    <w:rsid w:val="00A01E5C"/>
    <w:rsid w:val="00A264E7"/>
    <w:rsid w:val="00A26CF9"/>
    <w:rsid w:val="00A35AE5"/>
    <w:rsid w:val="00A55F96"/>
    <w:rsid w:val="00A63134"/>
    <w:rsid w:val="00A97AA7"/>
    <w:rsid w:val="00AA7B38"/>
    <w:rsid w:val="00AC4747"/>
    <w:rsid w:val="00AD6574"/>
    <w:rsid w:val="00B02835"/>
    <w:rsid w:val="00B11B69"/>
    <w:rsid w:val="00B17FFD"/>
    <w:rsid w:val="00B23D25"/>
    <w:rsid w:val="00B52D2D"/>
    <w:rsid w:val="00B74741"/>
    <w:rsid w:val="00B775D6"/>
    <w:rsid w:val="00BA6D05"/>
    <w:rsid w:val="00BE53AC"/>
    <w:rsid w:val="00BF0BE5"/>
    <w:rsid w:val="00C04AF4"/>
    <w:rsid w:val="00C13B80"/>
    <w:rsid w:val="00C81E26"/>
    <w:rsid w:val="00C9353B"/>
    <w:rsid w:val="00CD6E7B"/>
    <w:rsid w:val="00CE0FAE"/>
    <w:rsid w:val="00CE269A"/>
    <w:rsid w:val="00D00BCE"/>
    <w:rsid w:val="00D0668C"/>
    <w:rsid w:val="00D335C4"/>
    <w:rsid w:val="00D43117"/>
    <w:rsid w:val="00D64E2E"/>
    <w:rsid w:val="00D74E12"/>
    <w:rsid w:val="00DB02BB"/>
    <w:rsid w:val="00DD29FE"/>
    <w:rsid w:val="00DE179B"/>
    <w:rsid w:val="00E031C6"/>
    <w:rsid w:val="00E07C22"/>
    <w:rsid w:val="00E25AB8"/>
    <w:rsid w:val="00E26E05"/>
    <w:rsid w:val="00E2733B"/>
    <w:rsid w:val="00E32F1D"/>
    <w:rsid w:val="00E53422"/>
    <w:rsid w:val="00E76B55"/>
    <w:rsid w:val="00EB3067"/>
    <w:rsid w:val="00EB67CD"/>
    <w:rsid w:val="00EC148D"/>
    <w:rsid w:val="00EE1923"/>
    <w:rsid w:val="00F1619D"/>
    <w:rsid w:val="00F23104"/>
    <w:rsid w:val="00F93D21"/>
    <w:rsid w:val="00F94D33"/>
    <w:rsid w:val="00FB1FD2"/>
    <w:rsid w:val="00FE60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6268"/>
  <w15:chartTrackingRefBased/>
  <w15:docId w15:val="{A7DD417F-1DD1-4143-BDD6-2689F3DE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253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41626"/>
    <w:rPr>
      <w:color w:val="0563C1" w:themeColor="hyperlink"/>
      <w:u w:val="single"/>
    </w:rPr>
  </w:style>
  <w:style w:type="character" w:styleId="MenoPendente">
    <w:name w:val="Unresolved Mention"/>
    <w:basedOn w:val="Fontepargpadro"/>
    <w:uiPriority w:val="99"/>
    <w:semiHidden/>
    <w:unhideWhenUsed/>
    <w:rsid w:val="00441626"/>
    <w:rPr>
      <w:color w:val="605E5C"/>
      <w:shd w:val="clear" w:color="auto" w:fill="E1DFDD"/>
    </w:rPr>
  </w:style>
  <w:style w:type="paragraph" w:styleId="NormalWeb">
    <w:name w:val="Normal (Web)"/>
    <w:basedOn w:val="Normal"/>
    <w:uiPriority w:val="99"/>
    <w:semiHidden/>
    <w:unhideWhenUsed/>
    <w:rsid w:val="002A09E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369">
      <w:bodyDiv w:val="1"/>
      <w:marLeft w:val="0"/>
      <w:marRight w:val="0"/>
      <w:marTop w:val="0"/>
      <w:marBottom w:val="0"/>
      <w:divBdr>
        <w:top w:val="none" w:sz="0" w:space="0" w:color="auto"/>
        <w:left w:val="none" w:sz="0" w:space="0" w:color="auto"/>
        <w:bottom w:val="none" w:sz="0" w:space="0" w:color="auto"/>
        <w:right w:val="none" w:sz="0" w:space="0" w:color="auto"/>
      </w:divBdr>
    </w:div>
    <w:div w:id="973101087">
      <w:bodyDiv w:val="1"/>
      <w:marLeft w:val="0"/>
      <w:marRight w:val="0"/>
      <w:marTop w:val="0"/>
      <w:marBottom w:val="0"/>
      <w:divBdr>
        <w:top w:val="none" w:sz="0" w:space="0" w:color="auto"/>
        <w:left w:val="none" w:sz="0" w:space="0" w:color="auto"/>
        <w:bottom w:val="none" w:sz="0" w:space="0" w:color="auto"/>
        <w:right w:val="none" w:sz="0" w:space="0" w:color="auto"/>
      </w:divBdr>
    </w:div>
    <w:div w:id="1450004128">
      <w:bodyDiv w:val="1"/>
      <w:marLeft w:val="0"/>
      <w:marRight w:val="0"/>
      <w:marTop w:val="0"/>
      <w:marBottom w:val="0"/>
      <w:divBdr>
        <w:top w:val="none" w:sz="0" w:space="0" w:color="auto"/>
        <w:left w:val="none" w:sz="0" w:space="0" w:color="auto"/>
        <w:bottom w:val="none" w:sz="0" w:space="0" w:color="auto"/>
        <w:right w:val="none" w:sz="0" w:space="0" w:color="auto"/>
      </w:divBdr>
    </w:div>
    <w:div w:id="1508130056">
      <w:bodyDiv w:val="1"/>
      <w:marLeft w:val="0"/>
      <w:marRight w:val="0"/>
      <w:marTop w:val="0"/>
      <w:marBottom w:val="0"/>
      <w:divBdr>
        <w:top w:val="none" w:sz="0" w:space="0" w:color="auto"/>
        <w:left w:val="none" w:sz="0" w:space="0" w:color="auto"/>
        <w:bottom w:val="none" w:sz="0" w:space="0" w:color="auto"/>
        <w:right w:val="none" w:sz="0" w:space="0" w:color="auto"/>
      </w:divBdr>
    </w:div>
    <w:div w:id="16230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Kato</dc:creator>
  <cp:keywords/>
  <dc:description/>
  <cp:lastModifiedBy>Alvaro Matias Pereira</cp:lastModifiedBy>
  <cp:revision>3</cp:revision>
  <cp:lastPrinted>2022-07-22T19:41:00Z</cp:lastPrinted>
  <dcterms:created xsi:type="dcterms:W3CDTF">2022-07-28T13:31:00Z</dcterms:created>
  <dcterms:modified xsi:type="dcterms:W3CDTF">2022-07-29T12:23:00Z</dcterms:modified>
</cp:coreProperties>
</file>